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0"/>
          <w:szCs w:val="30"/>
        </w:rPr>
        <w:t xml:space="preserve">GOPAL SINGH SUBRAMANI SINGH</w:t>
      </w:r>
    </w:p>
    <w:p>
      <w:pPr>
        <w:spacing w:after="100"/>
        <w:jc w:val="center"/>
      </w:pPr>
      <w:r>
        <w:rPr>
          <w:sz w:val="17"/>
          <w:szCs w:val="17"/>
        </w:rPr>
        <w:t xml:space="preserve">github.com/Gopal-Singh-Subramani-Singh  |  linkedin.com/in/gopalsinghs  |  gs1806647@gmail.com  |  gsrsportfolio.vercel.app</w:t>
      </w:r>
    </w:p>
    <w:p>
      <w:pPr>
        <w:pBdr>
          <w:bottom w:val="single" w:color="444444" w:sz="6" w:space="1"/>
        </w:pBdr>
        <w:spacing w:after="40" w:before="90"/>
      </w:pPr>
      <w:r>
        <w:rPr>
          <w:b/>
          <w:bCs/>
          <w:color w:val="1a1a1a"/>
          <w:sz w:val="19"/>
          <w:szCs w:val="19"/>
        </w:rPr>
        <w:t xml:space="preserve">EDUCATION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San Diego State University — M.S. Computer Science</w:t>
      </w:r>
      <w:r>
        <w:rPr>
          <w:i/>
          <w:iCs/>
          <w:sz w:val="19"/>
          <w:szCs w:val="19"/>
        </w:rPr>
        <w:t xml:space="preserve">	May 2027 | San Diego, CA</w:t>
      </w:r>
    </w:p>
    <w:p>
      <w:r>
        <w:rPr>
          <w:i/>
          <w:iCs/>
          <w:sz w:val="19"/>
          <w:szCs w:val="19"/>
        </w:rPr>
        <w:t xml:space="preserve">GPA: 3.8/4.0 | Relevant Coursework: Algorithm Analysis and Design, Machine Learning, Data Science Techniques, Computer Networks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Vellore Institute of Technology — B.Tech Computer Science, AI/ML Specialization</w:t>
      </w:r>
      <w:r>
        <w:rPr>
          <w:i/>
          <w:iCs/>
          <w:sz w:val="19"/>
          <w:szCs w:val="19"/>
        </w:rPr>
        <w:t xml:space="preserve">	May 2025 | Chennai, India</w:t>
      </w:r>
    </w:p>
    <w:p>
      <w:r>
        <w:rPr>
          <w:i/>
          <w:iCs/>
          <w:sz w:val="19"/>
          <w:szCs w:val="19"/>
        </w:rPr>
        <w:t xml:space="preserve">GPA: 3.54/4.0 | Relevant Coursework: Data Structures, Operating Systems, Database Management Systems, Deep Learning, NLP</w:t>
      </w:r>
    </w:p>
    <w:p>
      <w:pPr>
        <w:pBdr>
          <w:bottom w:val="single" w:color="444444" w:sz="6" w:space="1"/>
        </w:pBdr>
        <w:spacing w:after="40" w:before="90"/>
      </w:pPr>
      <w:r>
        <w:rPr>
          <w:b/>
          <w:bCs/>
          <w:color w:val="1a1a1a"/>
          <w:sz w:val="19"/>
          <w:szCs w:val="19"/>
        </w:rPr>
        <w:t xml:space="preserve">SKILLS</w:t>
      </w:r>
    </w:p>
    <w:p>
      <w:pPr>
        <w:spacing w:after="20"/>
      </w:pPr>
      <w:r>
        <w:rPr>
          <w:b/>
          <w:bCs/>
          <w:sz w:val="19"/>
          <w:szCs w:val="19"/>
        </w:rPr>
        <w:t xml:space="preserve">Languages: </w:t>
      </w:r>
      <w:r>
        <w:rPr>
          <w:sz w:val="19"/>
          <w:szCs w:val="19"/>
        </w:rPr>
        <w:t xml:space="preserve">Python, C++, Java, SQL, TypeScript, Shell Scripting, MATLAB</w:t>
      </w:r>
    </w:p>
    <w:p>
      <w:pPr>
        <w:spacing w:after="20"/>
      </w:pPr>
      <w:r>
        <w:rPr>
          <w:b/>
          <w:bCs/>
          <w:sz w:val="19"/>
          <w:szCs w:val="19"/>
        </w:rPr>
        <w:t xml:space="preserve">AI/ML Systems: </w:t>
      </w:r>
      <w:r>
        <w:rPr>
          <w:sz w:val="19"/>
          <w:szCs w:val="19"/>
        </w:rPr>
        <w:t xml:space="preserve">LLM Systems, Model Serving, Model Routing, RAG, Agents, Embeddings, Quantization, Inference Optimization, Drift Detection</w:t>
      </w:r>
    </w:p>
    <w:p>
      <w:pPr>
        <w:spacing w:after="20"/>
      </w:pPr>
      <w:r>
        <w:rPr>
          <w:b/>
          <w:bCs/>
          <w:sz w:val="19"/>
          <w:szCs w:val="19"/>
        </w:rPr>
        <w:t xml:space="preserve">Infrastructure: </w:t>
      </w:r>
      <w:r>
        <w:rPr>
          <w:sz w:val="19"/>
          <w:szCs w:val="19"/>
        </w:rPr>
        <w:t xml:space="preserve">FastAPI, Redis, Docker, Kubernetes/K3s, Prometheus, Grafana, Ollama, SSE, gRPC, Circuit Breakers, Rate Limiting, Load Balancing</w:t>
      </w:r>
    </w:p>
    <w:p>
      <w:pPr>
        <w:spacing w:after="20"/>
      </w:pPr>
      <w:r>
        <w:rPr>
          <w:b/>
          <w:bCs/>
          <w:sz w:val="19"/>
          <w:szCs w:val="19"/>
        </w:rPr>
        <w:t xml:space="preserve">ML/Data Tooling: </w:t>
      </w:r>
      <w:r>
        <w:rPr>
          <w:sz w:val="19"/>
          <w:szCs w:val="19"/>
        </w:rPr>
        <w:t xml:space="preserve">PyTorch, TensorFlow, Hugging Face, scikit-learn, OpenCV, NumPy, Pandas, DuckDB, Polars, SciPy, SHAP</w:t>
      </w:r>
    </w:p>
    <w:p>
      <w:pPr>
        <w:spacing w:after="20"/>
      </w:pPr>
      <w:r>
        <w:rPr>
          <w:b/>
          <w:bCs/>
          <w:sz w:val="19"/>
          <w:szCs w:val="19"/>
        </w:rPr>
        <w:t xml:space="preserve">Databases/Storage: </w:t>
      </w:r>
      <w:r>
        <w:rPr>
          <w:sz w:val="19"/>
          <w:szCs w:val="19"/>
        </w:rPr>
        <w:t xml:space="preserve">PostgreSQL, TimescaleDB, MySQL, SQLite, Redis, MinIO, Parquet, Firebase</w:t>
      </w:r>
    </w:p>
    <w:p>
      <w:pPr>
        <w:spacing w:after="20"/>
      </w:pPr>
      <w:r>
        <w:rPr>
          <w:b/>
          <w:bCs/>
          <w:sz w:val="19"/>
          <w:szCs w:val="19"/>
        </w:rPr>
        <w:t xml:space="preserve">Cloud/DevTools: </w:t>
      </w:r>
      <w:r>
        <w:rPr>
          <w:sz w:val="19"/>
          <w:szCs w:val="19"/>
        </w:rPr>
        <w:t xml:space="preserve">AWS, Azure, GCP, Linux, Git, GitHub Actions, Docker Compose</w:t>
      </w:r>
    </w:p>
    <w:p>
      <w:pPr>
        <w:pBdr>
          <w:bottom w:val="single" w:color="444444" w:sz="6" w:space="1"/>
        </w:pBdr>
        <w:spacing w:after="40" w:before="90"/>
      </w:pPr>
      <w:r>
        <w:rPr>
          <w:b/>
          <w:bCs/>
          <w:color w:val="1a1a1a"/>
          <w:sz w:val="19"/>
          <w:szCs w:val="19"/>
        </w:rPr>
        <w:t xml:space="preserve">WORK EXPERIENCE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AI Research Associate — Center of Ophthalmology Data Analysis, Aravind Eye Hospital</w:t>
      </w:r>
      <w:r>
        <w:rPr>
          <w:i/>
          <w:iCs/>
          <w:sz w:val="19"/>
          <w:szCs w:val="19"/>
        </w:rPr>
        <w:t xml:space="preserve">	Feb 2025 – Jul 2025 | Coimbatore, India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Developed a multimodal preeclampsia risk pipeline fusing retinal vascular biomarkers with clinical vitals across 393 patient records and 57 engineered features.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Benchmarked Logistic Regression, Random Forest, XGBoost, and CatBoost over 162 hyperparameter configurations; CatBoost reached 92.4% accuracy and 0.957 ROC AUC, a 31% AUC improvement over baseline.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Engineered visit-level feature fusion from 4 retinal quadrant images per patient into structured, model-ready features; delivered a CatBoost screening model with 92.9% precision and 0.81 F1.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Research Intern — Quantization and Inference Optimization, Vellore Institute of Technology</w:t>
      </w:r>
      <w:r>
        <w:rPr>
          <w:i/>
          <w:iCs/>
          <w:sz w:val="19"/>
          <w:szCs w:val="19"/>
        </w:rPr>
        <w:t xml:space="preserve">	May 2024 – Jan 2025 | Chennai, India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Reduced large-language-model inference power consumption by 4.5% using EasyQuant post-training quantization, eliminating an estimated $1,200/year in cloud compute costs per deployed instance.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Instrumented GPU energy telemetry across 6 hardware configurations; cut average inference latency by 18% and saved 40+ GPU-hours/week in multimodal workload processing.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Ranked the top quantization strategy among 4 competing approaches through systematic benchmarking; the selected approach became the team standard and supported a peer-reviewed paper.</w:t>
      </w:r>
    </w:p>
    <w:p>
      <w:pPr>
        <w:pBdr>
          <w:bottom w:val="single" w:color="444444" w:sz="6" w:space="1"/>
        </w:pBdr>
        <w:spacing w:after="40" w:before="90"/>
      </w:pPr>
      <w:r>
        <w:rPr>
          <w:b/>
          <w:bCs/>
          <w:color w:val="1a1a1a"/>
          <w:sz w:val="19"/>
          <w:szCs w:val="19"/>
        </w:rPr>
        <w:t xml:space="preserve">PROJECTS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Anion — Linux-Native Local AI Operating Layer</w:t>
      </w:r>
      <w:r>
        <w:rPr>
          <w:i/>
          <w:iCs/>
          <w:sz w:val="19"/>
          <w:szCs w:val="19"/>
        </w:rPr>
        <w:t xml:space="preserve">	Jan 2026 – Jun 2026</w:t>
      </w:r>
    </w:p>
    <w:p>
      <w:r>
        <w:rPr>
          <w:i/>
          <w:iCs/>
          <w:sz w:val="19"/>
          <w:szCs w:val="19"/>
        </w:rPr>
        <w:t xml:space="preserve">Python, Electron/QML, Ollama, SQLite, systemd, REST/IPC, SSE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Built a full-stack local AI runtime integrating LLM inference, bounded agent workflows, semantic filesystem context, model routing, and safety-gated automation across backend, desktop UI, and systemd service layers.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Designed release-oriented validation gates spanning repository audits, chaos/soak tests, and packaging parity checks for a privacy-aware, locally-installed system.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Hermes — Distributed LLM Inference Gateway</w:t>
      </w:r>
      <w:r>
        <w:rPr>
          <w:i/>
          <w:iCs/>
          <w:sz w:val="19"/>
          <w:szCs w:val="19"/>
        </w:rPr>
        <w:t xml:space="preserve">	Jun 2026 – Present</w:t>
      </w:r>
    </w:p>
    <w:p>
      <w:r>
        <w:rPr>
          <w:i/>
          <w:iCs/>
          <w:sz w:val="19"/>
          <w:szCs w:val="19"/>
        </w:rPr>
        <w:t xml:space="preserve">FastAPI, Redis, Ollama, Prometheus, Grafana, Locust, asyncio, SSE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Built a production-style distributed inference gateway routing requests across multiple backend nodes with latency-aware load balancing, per-backend circuit breakers, and Redis-backed rate limiting; achieved 7.3ms p50 gateway latency and validated reliability with 47 automated tests.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Exposed 19 Prometheus metrics and built chaos/failover tests verifying backend degradation handling and real-time SSE streaming under load.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Pyrex — Cross-Backend ML Inference Benchmark Suite</w:t>
      </w:r>
      <w:r>
        <w:rPr>
          <w:i/>
          <w:iCs/>
          <w:sz w:val="19"/>
          <w:szCs w:val="19"/>
        </w:rPr>
        <w:t xml:space="preserve">	Jun 2026 – Present</w:t>
      </w:r>
    </w:p>
    <w:p>
      <w:r>
        <w:rPr>
          <w:i/>
          <w:iCs/>
          <w:sz w:val="19"/>
          <w:szCs w:val="19"/>
        </w:rPr>
        <w:t xml:space="preserve">PyTorch MPS, ONNX Runtime, Apple MLX, DuckDB, Typer, matplotlib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Built a benchmark suite comparing PyTorch MPS, ONNX Runtime, Apple MLX, and CPU across 6 kernels, measuring latency, throughput, and memory on Apple Silicon; executed multi-backend runs in 4.5s, verified with 53 automated tests.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Implemented baseline comparison, z-score regression detection, and DuckDB result storage to make inference performance repeatable across experiments and CI pipelines.</w:t>
      </w:r>
    </w:p>
    <w:p>
      <w:pPr>
        <w:tabs>
          <w:tab w:val="right" w:pos="10800"/>
        </w:tabs>
        <w:spacing w:before="60"/>
      </w:pPr>
      <w:r>
        <w:rPr>
          <w:b/>
          <w:bCs/>
          <w:sz w:val="19"/>
          <w:szCs w:val="19"/>
        </w:rPr>
        <w:t xml:space="preserve">Argus — ML Observability &amp; Drift Detection Platform</w:t>
      </w:r>
      <w:r>
        <w:rPr>
          <w:i/>
          <w:iCs/>
          <w:sz w:val="19"/>
          <w:szCs w:val="19"/>
        </w:rPr>
        <w:t xml:space="preserve">	Jun 2026 – Present</w:t>
      </w:r>
    </w:p>
    <w:p>
      <w:r>
        <w:rPr>
          <w:i/>
          <w:iCs/>
          <w:sz w:val="19"/>
          <w:szCs w:val="19"/>
        </w:rPr>
        <w:t xml:space="preserve">FastAPI, Redis Streams, TimescaleDB, DuckDB, Prometheus, Grafana, SciPy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Built a large-scale observability platform monitoring model health and feature drift using KS, PSI, chi-squared, and JS divergence tests over event-driven Redis Streams ingestion; exposed drift scores and alerts via API/metrics, validated with 40 automated tests.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Designed model registration, reference-distribution management, scheduled drift computation, and historical query paths for continuous ML monitoring at scale.</w:t>
      </w:r>
    </w:p>
    <w:p>
      <w:pPr>
        <w:spacing w:after="20"/>
      </w:pPr>
      <w:r>
        <w:rPr>
          <w:b/>
          <w:bCs/>
          <w:sz w:val="19"/>
          <w:szCs w:val="19"/>
        </w:rPr>
        <w:t xml:space="preserve">Certifications: </w:t>
      </w:r>
      <w:r>
        <w:rPr>
          <w:sz w:val="19"/>
          <w:szCs w:val="19"/>
        </w:rPr>
        <w:t xml:space="preserve">AWS Certified Solutions Architect – Associate; Oracle Cloud Infrastructure 2024 Generative AI Certified Professional</w:t>
      </w:r>
    </w:p>
    <w:sectPr>
      <w:pgSz w:w="12240" w:h="15840" w:orient="portrait"/>
      <w:pgMar w:top="300" w:right="580" w:bottom="300" w:left="5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2026-07-10T06:57:19.611Z</dcterms:created>
  <dcterms:modified xsi:type="dcterms:W3CDTF">2026-07-10T06:57:19.612Z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