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FA0B" w14:textId="77777777" w:rsidR="00B2385A" w:rsidRPr="009E3641" w:rsidRDefault="00DE681B" w:rsidP="00B2385A">
      <w:pPr>
        <w:spacing w:after="0" w:line="240" w:lineRule="auto"/>
        <w:ind w:left="-360" w:right="-360"/>
        <w:jc w:val="center"/>
        <w:outlineLvl w:val="0"/>
        <w:rPr>
          <w:rFonts w:ascii="Calibri" w:eastAsia="Times New Roman" w:hAnsi="Calibri" w:cs="Calibri"/>
          <w:b/>
          <w:bCs/>
          <w:color w:val="4472C4" w:themeColor="accent1"/>
          <w:kern w:val="36"/>
          <w:sz w:val="40"/>
          <w:szCs w:val="40"/>
          <w14:ligatures w14:val="none"/>
        </w:rPr>
      </w:pPr>
      <w:r>
        <w:rPr>
          <w:rFonts w:ascii="Calibri" w:eastAsia="Times New Roman" w:hAnsi="Calibri" w:cs="Calibri"/>
          <w:b/>
          <w:bCs/>
          <w:color w:val="4472C4" w:themeColor="accent1"/>
          <w:kern w:val="36"/>
          <w:sz w:val="40"/>
          <w:szCs w:val="40"/>
          <w14:ligatures w14:val="none"/>
        </w:rPr>
        <w:t>MRUNALI BHARSHANKAR</w:t>
      </w:r>
    </w:p>
    <w:p w14:paraId="0BA3580F" w14:textId="77777777" w:rsidR="00B2385A" w:rsidRPr="00E32FA8" w:rsidRDefault="00B2385A" w:rsidP="00B2385A">
      <w:pPr>
        <w:spacing w:after="40" w:line="240" w:lineRule="auto"/>
        <w:ind w:left="-360" w:right="-360"/>
        <w:jc w:val="center"/>
        <w:rPr>
          <w:rFonts w:ascii="Times New Roman" w:eastAsia="Times New Roman" w:hAnsi="Times New Roman" w:cs="Times New Roman"/>
          <w:kern w:val="0"/>
          <w:sz w:val="18"/>
          <w:szCs w:val="18"/>
          <w14:ligatures w14:val="none"/>
        </w:rPr>
      </w:pPr>
      <w:r>
        <w:rPr>
          <w:rFonts w:ascii="Calibri" w:eastAsia="Times New Roman" w:hAnsi="Calibri" w:cs="Calibri"/>
          <w:color w:val="000000"/>
          <w:kern w:val="0"/>
          <w:sz w:val="18"/>
          <w:szCs w:val="18"/>
          <w14:ligatures w14:val="none"/>
        </w:rPr>
        <w:t xml:space="preserve">+1 619-953-9719 | mrunalibh10@gmail.com | </w:t>
      </w:r>
      <w:hyperlink r:id="rId5" w:history="1">
        <w:r>
          <w:rPr>
            <w:rStyle w:val="Hyperlink"/>
            <w:rFonts w:ascii="Calibri" w:eastAsia="Times New Roman" w:hAnsi="Calibri" w:cs="Calibri"/>
            <w:kern w:val="0"/>
            <w:sz w:val="18"/>
            <w:szCs w:val="18"/>
            <w14:ligatures w14:val="none"/>
          </w:rPr>
          <w:t>GitHub</w:t>
        </w:r>
      </w:hyperlink>
      <w:r>
        <w:rPr>
          <w:rFonts w:ascii="Calibri" w:eastAsia="Times New Roman" w:hAnsi="Calibri" w:cs="Calibri"/>
          <w:color w:val="000000"/>
          <w:kern w:val="0"/>
          <w:sz w:val="18"/>
          <w:szCs w:val="18"/>
          <w14:ligatures w14:val="none"/>
        </w:rPr>
        <w:t xml:space="preserve">| </w:t>
      </w:r>
      <w:hyperlink r:id="rId6" w:history="1">
        <w:r>
          <w:rPr>
            <w:rStyle w:val="Hyperlink"/>
            <w:rFonts w:ascii="Calibri" w:eastAsia="Times New Roman" w:hAnsi="Calibri" w:cs="Calibri"/>
            <w:kern w:val="0"/>
            <w:sz w:val="18"/>
            <w:szCs w:val="18"/>
            <w14:ligatures w14:val="none"/>
          </w:rPr>
          <w:t>LinkedIn</w:t>
        </w:r>
      </w:hyperlink>
    </w:p>
    <w:p w14:paraId="1475E5AF" w14:textId="77777777" w:rsidR="00B2385A" w:rsidRPr="00E32FA8" w:rsidRDefault="00B2385A" w:rsidP="00B51FE2">
      <w:pPr>
        <w:spacing w:after="80" w:line="240" w:lineRule="auto"/>
        <w:ind w:left="-360" w:right="-360"/>
        <w:jc w:val="both"/>
        <w:outlineLvl w:val="1"/>
        <w:rPr>
          <w:rFonts w:ascii="Times New Roman" w:eastAsia="Times New Roman" w:hAnsi="Times New Roman" w:cs="Times New Roman"/>
          <w:b/>
          <w:bCs/>
          <w:kern w:val="0"/>
          <w14:ligatures w14:val="none"/>
        </w:rPr>
      </w:pPr>
      <w:r>
        <w:rPr>
          <w:rFonts w:ascii="Calibri" w:eastAsia="Times New Roman" w:hAnsi="Calibri" w:cs="Calibri"/>
          <w:b/>
          <w:bCs/>
          <w:color w:val="3C78D8"/>
          <w:kern w:val="0"/>
          <w14:ligatures w14:val="none"/>
        </w:rPr>
        <w:t>SUMMARY</w:t>
      </w:r>
    </w:p>
    <w:p w14:paraId="09F920D3" w14:textId="410540F3" w:rsidR="00B2385A" w:rsidRPr="00E32FA8" w:rsidRDefault="00231B1C" w:rsidP="0031079F">
      <w:pPr>
        <w:spacing w:before="40" w:after="40" w:line="240" w:lineRule="auto"/>
        <w:ind w:left="-360" w:right="-360"/>
        <w:jc w:val="both"/>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Healthcare Data Analyst with 6+ years in healthcare data analysis, claims operations, and data quality management, transitioning from retail finance into pharmacy benefit management. Hands-on experience building claims analytics pipelines using BigQuery SQL, Tableau dashboards, Excel reporting, and Python to surface cost drivers, prescriber utilization, and formulary optimization opportunities. Skilled in Medicare Part D data, GDR benchmarking, specialty drug identification, medication adherence modeling, stakeholder communication, payer reporting, and outcomes reporting. Seeking to apply this expertise to drive drug cost reduction, utilization review, and population health outcomes at a health plan or PBM.</w:t>
      </w:r>
    </w:p>
    <w:p w14:paraId="356D059C" w14:textId="77777777" w:rsidR="00D26591" w:rsidRDefault="00D26591" w:rsidP="00B51FE2">
      <w:pPr>
        <w:spacing w:after="40" w:line="240" w:lineRule="auto"/>
        <w:ind w:left="-360" w:right="-360"/>
        <w:jc w:val="both"/>
        <w:rPr>
          <w:rFonts w:ascii="Calibri" w:eastAsia="Times New Roman" w:hAnsi="Calibri" w:cs="Calibri"/>
          <w:color w:val="000000"/>
          <w:kern w:val="0"/>
          <w:sz w:val="20"/>
          <w:szCs w:val="20"/>
          <w14:ligatures w14:val="none"/>
        </w:rPr>
      </w:pPr>
    </w:p>
    <w:p w14:paraId="327D0C09" w14:textId="77777777" w:rsidR="00D26591" w:rsidRPr="00E32FA8" w:rsidRDefault="00D26591" w:rsidP="00B51FE2">
      <w:pPr>
        <w:spacing w:after="40" w:line="240" w:lineRule="auto"/>
        <w:ind w:left="-360" w:right="-360"/>
        <w:jc w:val="both"/>
        <w:rPr>
          <w:rFonts w:ascii="Calibri" w:eastAsia="Times New Roman" w:hAnsi="Calibri" w:cs="Calibri"/>
          <w:b/>
          <w:bCs/>
          <w:color w:val="3C78D8"/>
          <w:kern w:val="0"/>
          <w14:ligatures w14:val="none"/>
        </w:rPr>
      </w:pPr>
      <w:r>
        <w:rPr>
          <w:rFonts w:ascii="Calibri" w:eastAsia="Times New Roman" w:hAnsi="Calibri" w:cs="Calibri"/>
          <w:b/>
          <w:bCs/>
          <w:color w:val="3C78D8"/>
          <w:kern w:val="0"/>
          <w14:ligatures w14:val="none"/>
        </w:rPr>
        <w:t xml:space="preserve">CERTIFICATIONS &amp; PROFESSIONAL DEVELOPMENT </w:t>
      </w:r>
    </w:p>
    <w:p w14:paraId="0243915C" w14:textId="320B33A9" w:rsidR="00896694" w:rsidRPr="00E32FA8" w:rsidRDefault="00896694" w:rsidP="0031079F">
      <w:pPr>
        <w:spacing w:after="40" w:line="240" w:lineRule="auto"/>
        <w:ind w:left="-360" w:right="-360"/>
        <w:jc w:val="both"/>
        <w:rPr>
          <w:sz w:val="18"/>
          <w:szCs w:val="18"/>
        </w:rPr>
      </w:pPr>
      <w:r>
        <w:rPr>
          <w:b/>
          <w:bCs/>
          <w:sz w:val="18"/>
          <w:szCs w:val="18"/>
        </w:rPr>
        <w:t xml:space="preserve">Healthcare Analytics &amp; Pharmacy Benefit Management </w:t>
      </w:r>
      <w:r>
        <w:rPr>
          <w:color w:val="555555"/>
          <w:sz w:val="18"/>
          <w:szCs w:val="18"/>
        </w:rPr>
        <w:t>| Analytics Accelerator Program · Cohort Bootcamp | 2025 - 2026</w:t>
      </w:r>
    </w:p>
    <w:p w14:paraId="752C32F6" w14:textId="77777777" w:rsidR="00D26591" w:rsidRPr="00E32FA8" w:rsidRDefault="00D26591" w:rsidP="0031079F">
      <w:pPr>
        <w:spacing w:after="40" w:line="240" w:lineRule="auto"/>
        <w:ind w:left="-360" w:right="-360"/>
        <w:jc w:val="both"/>
        <w:rPr>
          <w:rFonts w:ascii="Calibri" w:eastAsia="Times New Roman" w:hAnsi="Calibri" w:cs="Calibri"/>
          <w:b/>
          <w:bCs/>
          <w:color w:val="3C78D8"/>
          <w:kern w:val="0"/>
          <w:sz w:val="18"/>
          <w:szCs w:val="18"/>
          <w14:ligatures w14:val="none"/>
        </w:rPr>
      </w:pPr>
      <w:r>
        <w:rPr>
          <w:b/>
          <w:bCs/>
          <w:sz w:val="18"/>
          <w:szCs w:val="18"/>
        </w:rPr>
        <w:t>Tableau Desktop Specialist Certification</w:t>
      </w:r>
      <w:r>
        <w:rPr>
          <w:color w:val="555555"/>
          <w:sz w:val="18"/>
          <w:szCs w:val="18"/>
        </w:rPr>
        <w:t xml:space="preserve"> | Tableau | 2024</w:t>
        <w:tab/>
      </w:r>
      <w:r>
        <w:rPr>
          <w:sz w:val="18"/>
          <w:szCs w:val="18"/>
        </w:rPr>
        <w:t xml:space="preserve"> </w:t>
      </w:r>
    </w:p>
    <w:p w14:paraId="5BF7F109" w14:textId="77777777" w:rsidR="00B51FE2" w:rsidRDefault="00D26591" w:rsidP="00B51FE2">
      <w:pPr>
        <w:spacing w:after="40" w:line="240" w:lineRule="auto"/>
        <w:ind w:left="-360" w:right="-360"/>
        <w:jc w:val="both"/>
        <w:rPr>
          <w:rFonts w:ascii="Calibri" w:eastAsia="Times New Roman" w:hAnsi="Calibri" w:cs="Calibri"/>
          <w:b/>
          <w:bCs/>
          <w:color w:val="3C78D8"/>
          <w:kern w:val="0"/>
          <w:sz w:val="18"/>
          <w:szCs w:val="18"/>
          <w14:ligatures w14:val="none"/>
        </w:rPr>
      </w:pPr>
      <w:r>
        <w:rPr>
          <w:b/>
          <w:bCs/>
          <w:sz w:val="18"/>
          <w:szCs w:val="18"/>
        </w:rPr>
        <w:t>Google Advanced Data Analytics Certificate</w:t>
      </w:r>
      <w:r>
        <w:rPr>
          <w:color w:val="555555"/>
          <w:sz w:val="18"/>
          <w:szCs w:val="18"/>
        </w:rPr>
        <w:t xml:space="preserve"> | Google / Coursera | 2023</w:t>
      </w:r>
    </w:p>
    <w:p w14:paraId="1F2AC3E7" w14:textId="77777777" w:rsidR="00B51FE2" w:rsidRDefault="00B51FE2" w:rsidP="00B51FE2">
      <w:pPr>
        <w:spacing w:after="40" w:line="240" w:lineRule="auto"/>
        <w:ind w:left="-360" w:right="-360"/>
        <w:jc w:val="both"/>
        <w:rPr>
          <w:rFonts w:ascii="Calibri" w:eastAsia="Times New Roman" w:hAnsi="Calibri" w:cs="Calibri"/>
          <w:b/>
          <w:bCs/>
          <w:color w:val="3C78D8"/>
          <w:kern w:val="0"/>
          <w14:ligatures w14:val="none"/>
        </w:rPr>
      </w:pPr>
    </w:p>
    <w:p w14:paraId="03DC1DEE" w14:textId="51E6D29D" w:rsidR="00B2385A" w:rsidRPr="00B51FE2" w:rsidRDefault="00B2385A" w:rsidP="00B51FE2">
      <w:pPr>
        <w:spacing w:after="40" w:line="240" w:lineRule="auto"/>
        <w:ind w:left="-360" w:right="-360"/>
        <w:jc w:val="both"/>
        <w:rPr>
          <w:rFonts w:ascii="Calibri" w:eastAsia="Times New Roman" w:hAnsi="Calibri" w:cs="Calibri"/>
          <w:b/>
          <w:bCs/>
          <w:color w:val="3C78D8"/>
          <w:kern w:val="0"/>
          <w:sz w:val="18"/>
          <w:szCs w:val="18"/>
          <w14:ligatures w14:val="none"/>
        </w:rPr>
      </w:pPr>
      <w:r>
        <w:rPr>
          <w:rFonts w:ascii="Calibri" w:eastAsia="Times New Roman" w:hAnsi="Calibri" w:cs="Calibri"/>
          <w:b/>
          <w:bCs/>
          <w:color w:val="3C78D8"/>
          <w:kern w:val="0"/>
          <w14:ligatures w14:val="none"/>
        </w:rPr>
        <w:t>EXPERIENCE</w:t>
      </w:r>
    </w:p>
    <w:p w14:paraId="2E74D58E" w14:textId="3EE6358A" w:rsidR="00B2385A" w:rsidRPr="00E32FA8" w:rsidRDefault="001E389B" w:rsidP="00B51FE2">
      <w:pPr>
        <w:spacing w:after="0" w:line="240" w:lineRule="auto"/>
        <w:ind w:left="-360" w:right="-360"/>
        <w:jc w:val="both"/>
        <w:rPr>
          <w:rFonts w:ascii="Times New Roman" w:eastAsia="Times New Roman" w:hAnsi="Times New Roman" w:cs="Times New Roman"/>
          <w:kern w:val="0"/>
          <w:sz w:val="18"/>
          <w:szCs w:val="18"/>
          <w14:ligatures w14:val="none"/>
        </w:rPr>
      </w:pPr>
      <w:r>
        <w:rPr>
          <w:rFonts w:ascii="Calibri" w:eastAsia="Times New Roman" w:hAnsi="Calibri" w:cs="Calibri"/>
          <w:b/>
          <w:bCs/>
          <w:color w:val="000000"/>
          <w:kern w:val="0"/>
          <w:sz w:val="18"/>
          <w:szCs w:val="18"/>
          <w14:ligatures w14:val="none"/>
        </w:rPr>
        <w:t>OPERATIONS ANALYST - DATA &amp; CLAIMS ANALYTICS</w:t>
      </w:r>
      <w:r>
        <w:rPr>
          <w:rFonts w:ascii="Calibri" w:eastAsia="Times New Roman" w:hAnsi="Calibri" w:cs="Calibri"/>
          <w:color w:val="000000"/>
          <w:kern w:val="0"/>
          <w:sz w:val="18"/>
          <w:szCs w:val="18"/>
          <w14:ligatures w14:val="none"/>
        </w:rPr>
        <w:t xml:space="preserve"> | PRGX Global Inc - India </w:t>
      </w:r>
      <w:r>
        <w:rPr>
          <w:color w:val="555555"/>
          <w:sz w:val="18"/>
          <w:szCs w:val="18"/>
        </w:rPr>
        <w:t>| 2019 - 2022</w:t>
      </w:r>
    </w:p>
    <w:p w14:paraId="533174DD" w14:textId="77777777" w:rsidR="00B2385A" w:rsidRPr="00E32FA8" w:rsidRDefault="00B2385A" w:rsidP="0031079F">
      <w:pPr>
        <w:spacing w:before="40" w:after="40" w:line="240" w:lineRule="auto"/>
        <w:ind w:left="-360" w:right="-360"/>
        <w:jc w:val="both"/>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Delivered high-volume healthcare data analysis, billing data validation, and audit analytics for Fortune 500 clients across healthcare, retail, and finance verticals using SQL, Excel reporting, and Tableau dashboards to surface cost recovery opportunities and strengthen data quality.</w:t>
      </w:r>
    </w:p>
    <w:p w14:paraId="2B5D18AE" w14:textId="56E797C7" w:rsidR="003632CC" w:rsidRPr="00E32FA8" w:rsidRDefault="003632CC" w:rsidP="0031079F">
      <w:pPr>
        <w:numPr>
          <w:ilvl w:val="0"/>
          <w:numId w:val="1"/>
        </w:numPr>
        <w:spacing w:after="0" w:line="240" w:lineRule="auto"/>
        <w:ind w:left="0" w:right="-360"/>
        <w:jc w:val="both"/>
        <w:textAlignment w:val="baseline"/>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Managed </w:t>
      </w:r>
      <w:r>
        <w:rPr>
          <w:rFonts w:ascii="Calibri" w:eastAsia="Times New Roman" w:hAnsi="Calibri" w:cs="Calibri"/>
          <w:b/>
          <w:bCs/>
          <w:color w:val="000000"/>
          <w:kern w:val="0"/>
          <w:sz w:val="18"/>
          <w:szCs w:val="18"/>
          <w14:ligatures w14:val="none"/>
        </w:rPr>
        <w:t>end-to-end claims data validation and reconciliation workflows across patient/member demographics, diagnoses, and service codes</w:t>
      </w:r>
      <w:r>
        <w:rPr>
          <w:rFonts w:ascii="Calibri" w:eastAsia="Times New Roman" w:hAnsi="Calibri" w:cs="Calibri"/>
          <w:color w:val="000000"/>
          <w:kern w:val="0"/>
          <w:sz w:val="18"/>
          <w:szCs w:val="18"/>
          <w14:ligatures w14:val="none"/>
        </w:rPr>
        <w:t xml:space="preserve"> supporting </w:t>
      </w:r>
      <w:r>
        <w:rPr>
          <w:rFonts w:ascii="Calibri" w:eastAsia="Times New Roman" w:hAnsi="Calibri" w:cs="Calibri"/>
          <w:b/>
          <w:bCs/>
          <w:color w:val="000000"/>
          <w:kern w:val="0"/>
          <w:sz w:val="18"/>
          <w:szCs w:val="18"/>
          <w14:ligatures w14:val="none"/>
        </w:rPr>
        <w:t>$2B+ in claim recovery (avg 10× ROI)</w:t>
      </w:r>
      <w:r>
        <w:rPr>
          <w:rFonts w:ascii="Calibri" w:eastAsia="Times New Roman" w:hAnsi="Calibri" w:cs="Calibri"/>
          <w:color w:val="000000"/>
          <w:kern w:val="0"/>
          <w:sz w:val="18"/>
          <w:szCs w:val="18"/>
          <w14:ligatures w14:val="none"/>
        </w:rPr>
        <w:t xml:space="preserve">, built repeatable SQL-driven audit processes that improved </w:t>
      </w:r>
      <w:r>
        <w:rPr>
          <w:rFonts w:ascii="Calibri" w:eastAsia="Times New Roman" w:hAnsi="Calibri" w:cs="Calibri"/>
          <w:b/>
          <w:bCs/>
          <w:color w:val="000000"/>
          <w:kern w:val="0"/>
          <w:sz w:val="18"/>
          <w:szCs w:val="18"/>
          <w14:ligatures w14:val="none"/>
        </w:rPr>
        <w:t>data quality and scalable analytics delivery</w:t>
      </w:r>
      <w:r>
        <w:rPr>
          <w:rFonts w:ascii="Calibri" w:eastAsia="Times New Roman" w:hAnsi="Calibri" w:cs="Calibri"/>
          <w:color w:val="000000"/>
          <w:kern w:val="0"/>
          <w:sz w:val="18"/>
          <w:szCs w:val="18"/>
          <w14:ligatures w14:val="none"/>
        </w:rPr>
        <w:t xml:space="preserve"> across client engagements.</w:t>
      </w:r>
    </w:p>
    <w:p w14:paraId="2D888F3F" w14:textId="77777777" w:rsidR="003632CC" w:rsidRPr="00E32FA8" w:rsidRDefault="003632CC" w:rsidP="0031079F">
      <w:pPr>
        <w:numPr>
          <w:ilvl w:val="0"/>
          <w:numId w:val="1"/>
        </w:numPr>
        <w:spacing w:after="0" w:line="240" w:lineRule="auto"/>
        <w:ind w:left="0" w:right="-360"/>
        <w:jc w:val="both"/>
        <w:textAlignment w:val="baseline"/>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Supported </w:t>
      </w:r>
      <w:r>
        <w:rPr>
          <w:rFonts w:ascii="Calibri" w:eastAsia="Times New Roman" w:hAnsi="Calibri" w:cs="Calibri"/>
          <w:b/>
          <w:bCs/>
          <w:color w:val="000000"/>
          <w:kern w:val="0"/>
          <w:sz w:val="18"/>
          <w:szCs w:val="18"/>
          <w14:ligatures w14:val="none"/>
        </w:rPr>
        <w:t>quarterly business reviews, KPI reporting, and stakeholder communication</w:t>
      </w:r>
      <w:r>
        <w:rPr>
          <w:rFonts w:ascii="Calibri" w:eastAsia="Times New Roman" w:hAnsi="Calibri" w:cs="Calibri"/>
          <w:color w:val="000000"/>
          <w:kern w:val="0"/>
          <w:sz w:val="18"/>
          <w:szCs w:val="18"/>
          <w14:ligatures w14:val="none"/>
        </w:rPr>
        <w:t xml:space="preserve"> for executive stakeholders; recommended </w:t>
      </w:r>
      <w:r>
        <w:rPr>
          <w:rFonts w:ascii="Calibri" w:eastAsia="Times New Roman" w:hAnsi="Calibri" w:cs="Calibri"/>
          <w:b/>
          <w:bCs/>
          <w:color w:val="000000"/>
          <w:kern w:val="0"/>
          <w:sz w:val="18"/>
          <w:szCs w:val="18"/>
          <w14:ligatures w14:val="none"/>
        </w:rPr>
        <w:t>process improvements from data analysis</w:t>
      </w:r>
      <w:r>
        <w:rPr>
          <w:rFonts w:ascii="Calibri" w:eastAsia="Times New Roman" w:hAnsi="Calibri" w:cs="Calibri"/>
          <w:color w:val="000000"/>
          <w:kern w:val="0"/>
          <w:sz w:val="18"/>
          <w:szCs w:val="18"/>
          <w14:ligatures w14:val="none"/>
        </w:rPr>
        <w:t xml:space="preserve"> that reduced audit cycle time and improved cross-functional reporting efficiency.</w:t>
      </w:r>
    </w:p>
    <w:p w14:paraId="6AEC3B07" w14:textId="519B9D87" w:rsidR="003632CC" w:rsidRPr="00E32FA8" w:rsidRDefault="00D26591" w:rsidP="0031079F">
      <w:pPr>
        <w:spacing w:before="120" w:after="0" w:line="240" w:lineRule="auto"/>
        <w:ind w:left="-360" w:right="-360"/>
        <w:jc w:val="both"/>
        <w:rPr>
          <w:rFonts w:ascii="Times New Roman" w:eastAsia="Times New Roman" w:hAnsi="Times New Roman" w:cs="Times New Roman"/>
          <w:kern w:val="0"/>
          <w:sz w:val="18"/>
          <w:szCs w:val="18"/>
          <w14:ligatures w14:val="none"/>
        </w:rPr>
      </w:pPr>
      <w:r>
        <w:rPr>
          <w:rFonts w:ascii="Calibri" w:eastAsia="Times New Roman" w:hAnsi="Calibri" w:cs="Calibri"/>
          <w:b/>
          <w:bCs/>
          <w:color w:val="000000"/>
          <w:kern w:val="0"/>
          <w:sz w:val="18"/>
          <w:szCs w:val="18"/>
          <w14:ligatures w14:val="none"/>
        </w:rPr>
        <w:t>DATA ANALYST - HEALTHCARE &amp; LEGAL DATA OPERATIONS</w:t>
      </w:r>
      <w:r>
        <w:rPr>
          <w:rFonts w:ascii="Calibri" w:eastAsia="Times New Roman" w:hAnsi="Calibri" w:cs="Calibri"/>
          <w:color w:val="000000"/>
          <w:kern w:val="0"/>
          <w:sz w:val="18"/>
          <w:szCs w:val="18"/>
          <w14:ligatures w14:val="none"/>
        </w:rPr>
        <w:t xml:space="preserve"> | EPIQ Systems - India </w:t>
      </w:r>
      <w:r>
        <w:rPr>
          <w:color w:val="555555"/>
          <w:sz w:val="18"/>
          <w:szCs w:val="18"/>
        </w:rPr>
        <w:t>| 2016 - 2018</w:t>
      </w:r>
    </w:p>
    <w:p w14:paraId="03A15EE7" w14:textId="1D88D7AF" w:rsidR="003632CC" w:rsidRPr="00E32FA8" w:rsidRDefault="003632CC" w:rsidP="0031079F">
      <w:pPr>
        <w:spacing w:before="40" w:after="40" w:line="240" w:lineRule="auto"/>
        <w:ind w:left="-360" w:right="-360"/>
        <w:jc w:val="both"/>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Managed end-to-end data operations for analytics engagements serving global healthcare and legal clients, overseeing data quality workflows, data governance, and stakeholder reporting across multiple concurrent workstreams.</w:t>
      </w:r>
    </w:p>
    <w:p w14:paraId="60C271D9" w14:textId="30D4F938" w:rsidR="003632CC" w:rsidRPr="00E32FA8" w:rsidRDefault="003632CC" w:rsidP="0031079F">
      <w:pPr>
        <w:numPr>
          <w:ilvl w:val="0"/>
          <w:numId w:val="1"/>
        </w:numPr>
        <w:spacing w:after="0" w:line="240" w:lineRule="auto"/>
        <w:ind w:left="0" w:right="-360"/>
        <w:jc w:val="both"/>
        <w:textAlignment w:val="baseline"/>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Processed and validated </w:t>
      </w:r>
      <w:r>
        <w:rPr>
          <w:rFonts w:ascii="Calibri" w:eastAsia="Times New Roman" w:hAnsi="Calibri" w:cs="Calibri"/>
          <w:b/>
          <w:bCs/>
          <w:color w:val="000000"/>
          <w:kern w:val="0"/>
          <w:sz w:val="18"/>
          <w:szCs w:val="18"/>
          <w14:ligatures w14:val="none"/>
        </w:rPr>
        <w:t>terabyte-scale datasets</w:t>
      </w:r>
      <w:r>
        <w:rPr>
          <w:rFonts w:ascii="Calibri" w:eastAsia="Times New Roman" w:hAnsi="Calibri" w:cs="Calibri"/>
          <w:color w:val="000000"/>
          <w:kern w:val="0"/>
          <w:sz w:val="18"/>
          <w:szCs w:val="18"/>
          <w14:ligatures w14:val="none"/>
        </w:rPr>
        <w:t xml:space="preserve"> for global clients, maintaining </w:t>
      </w:r>
      <w:r>
        <w:rPr>
          <w:rFonts w:ascii="Calibri" w:eastAsia="Times New Roman" w:hAnsi="Calibri" w:cs="Calibri"/>
          <w:b/>
          <w:bCs/>
          <w:color w:val="000000"/>
          <w:kern w:val="0"/>
          <w:sz w:val="18"/>
          <w:szCs w:val="18"/>
          <w14:ligatures w14:val="none"/>
        </w:rPr>
        <w:t>100% on-time SLA delivery</w:t>
      </w:r>
      <w:r>
        <w:rPr>
          <w:rFonts w:ascii="Calibri" w:eastAsia="Times New Roman" w:hAnsi="Calibri" w:cs="Calibri"/>
          <w:color w:val="000000"/>
          <w:kern w:val="0"/>
          <w:sz w:val="18"/>
          <w:szCs w:val="18"/>
          <w14:ligatures w14:val="none"/>
        </w:rPr>
        <w:t xml:space="preserve">, reduced processing errors by </w:t>
      </w:r>
      <w:r>
        <w:rPr>
          <w:rFonts w:ascii="Calibri" w:eastAsia="Times New Roman" w:hAnsi="Calibri" w:cs="Calibri"/>
          <w:b/>
          <w:bCs/>
          <w:color w:val="000000"/>
          <w:kern w:val="0"/>
          <w:sz w:val="18"/>
          <w:szCs w:val="18"/>
          <w14:ligatures w14:val="none"/>
        </w:rPr>
        <w:t>20%</w:t>
      </w:r>
      <w:r>
        <w:rPr>
          <w:rFonts w:ascii="Calibri" w:eastAsia="Times New Roman" w:hAnsi="Calibri" w:cs="Calibri"/>
          <w:color w:val="000000"/>
          <w:kern w:val="0"/>
          <w:sz w:val="18"/>
          <w:szCs w:val="18"/>
          <w14:ligatures w14:val="none"/>
        </w:rPr>
        <w:t xml:space="preserve"> through structured data quality protocols and proactive data governance standards.</w:t>
      </w:r>
    </w:p>
    <w:p w14:paraId="1E9678F0" w14:textId="69D2859C" w:rsidR="003632CC" w:rsidRPr="00E32FA8" w:rsidRDefault="003632CC" w:rsidP="0031079F">
      <w:pPr>
        <w:numPr>
          <w:ilvl w:val="0"/>
          <w:numId w:val="1"/>
        </w:numPr>
        <w:spacing w:after="0" w:line="240" w:lineRule="auto"/>
        <w:ind w:left="0" w:right="-360"/>
        <w:jc w:val="both"/>
        <w:textAlignment w:val="baseline"/>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Delivered </w:t>
      </w:r>
      <w:r>
        <w:rPr>
          <w:rFonts w:ascii="Calibri" w:eastAsia="Times New Roman" w:hAnsi="Calibri" w:cs="Calibri"/>
          <w:b/>
          <w:bCs/>
          <w:color w:val="000000"/>
          <w:kern w:val="0"/>
          <w:sz w:val="18"/>
          <w:szCs w:val="18"/>
          <w14:ligatures w14:val="none"/>
        </w:rPr>
        <w:t>executive program status reports and cross-functional stakeholder communication</w:t>
      </w:r>
      <w:r>
        <w:rPr>
          <w:rFonts w:ascii="Calibri" w:eastAsia="Times New Roman" w:hAnsi="Calibri" w:cs="Calibri"/>
          <w:color w:val="000000"/>
          <w:kern w:val="0"/>
          <w:sz w:val="18"/>
          <w:szCs w:val="18"/>
          <w14:ligatures w14:val="none"/>
        </w:rPr>
        <w:t xml:space="preserve"> across analytics engagements, managing roadmaps and milestone readiness in Jira and Confluence.</w:t>
      </w:r>
    </w:p>
    <w:p w14:paraId="0DAA4045" w14:textId="77777777" w:rsidR="00AC49AB" w:rsidRPr="00E32FA8" w:rsidRDefault="00B2385A" w:rsidP="0031079F">
      <w:pPr>
        <w:spacing w:before="160" w:after="80" w:line="240" w:lineRule="auto"/>
        <w:ind w:left="-360" w:right="-360"/>
        <w:jc w:val="both"/>
        <w:outlineLvl w:val="1"/>
        <w:rPr>
          <w:rFonts w:ascii="Calibri" w:eastAsia="Times New Roman" w:hAnsi="Calibri" w:cs="Calibri"/>
          <w:b/>
          <w:bCs/>
          <w:color w:val="000000"/>
          <w:kern w:val="0"/>
          <w14:ligatures w14:val="none"/>
        </w:rPr>
      </w:pPr>
      <w:r>
        <w:rPr>
          <w:rFonts w:ascii="Calibri" w:eastAsia="Times New Roman" w:hAnsi="Calibri" w:cs="Calibri"/>
          <w:b/>
          <w:bCs/>
          <w:color w:val="3C78D8"/>
          <w:kern w:val="0"/>
          <w14:ligatures w14:val="none"/>
        </w:rPr>
        <w:t>PROJECTS</w:t>
      </w:r>
    </w:p>
    <w:p w14:paraId="57704991" w14:textId="16E500CE" w:rsidR="00AC49AB" w:rsidRPr="00E32FA8" w:rsidRDefault="00B2385A" w:rsidP="00B51FE2">
      <w:pPr>
        <w:spacing w:after="20" w:line="240" w:lineRule="auto"/>
        <w:ind w:left="-360" w:right="-360"/>
        <w:jc w:val="both"/>
        <w:rPr>
          <w:rFonts w:ascii="Calibri" w:eastAsia="Times New Roman" w:hAnsi="Calibri" w:cs="Calibri"/>
          <w:b/>
          <w:bCs/>
          <w:color w:val="000000"/>
          <w:kern w:val="0"/>
          <w:sz w:val="18"/>
          <w:szCs w:val="18"/>
          <w14:ligatures w14:val="none"/>
        </w:rPr>
      </w:pPr>
      <w:r>
        <w:rPr>
          <w:rFonts w:ascii="Calibri" w:eastAsia="Times New Roman" w:hAnsi="Calibri" w:cs="Calibri"/>
          <w:b/>
          <w:bCs/>
          <w:color w:val="000000"/>
          <w:kern w:val="0"/>
          <w:sz w:val="18"/>
          <w:szCs w:val="18"/>
          <w14:ligatures w14:val="none"/>
        </w:rPr>
        <w:t>CA Medicare Part D - Pharmacy Benefit Analytics</w:t>
      </w:r>
      <w:r>
        <w:rPr>
          <w:rFonts w:ascii="Calibri" w:eastAsia="Times New Roman" w:hAnsi="Calibri" w:cs="Calibri"/>
          <w:color w:val="555555"/>
          <w:kern w:val="0"/>
          <w:sz w:val="18"/>
          <w:szCs w:val="18"/>
          <w14:ligatures w14:val="none"/>
        </w:rPr>
        <w:t xml:space="preserve"> | BigQuery · SQL · Tableau Public · CMS Medicare Part D 2024 | 2025</w:t>
      </w:r>
    </w:p>
    <w:p w14:paraId="09C329DA" w14:textId="77777777" w:rsidR="00AC49AB" w:rsidRPr="00E32FA8" w:rsidRDefault="00B2385A" w:rsidP="0031079F">
      <w:pPr>
        <w:numPr>
          <w:ilvl w:val="0"/>
          <w:numId w:val="1"/>
        </w:numPr>
        <w:spacing w:after="0" w:line="240" w:lineRule="auto"/>
        <w:ind w:left="0" w:right="-360"/>
        <w:jc w:val="both"/>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Built a </w:t>
      </w:r>
      <w:r>
        <w:rPr>
          <w:rFonts w:ascii="Calibri" w:eastAsia="Times New Roman" w:hAnsi="Calibri" w:cs="Calibri"/>
          <w:b/>
          <w:bCs/>
          <w:color w:val="000000"/>
          <w:kern w:val="0"/>
          <w:sz w:val="18"/>
          <w:szCs w:val="18"/>
          <w14:ligatures w14:val="none"/>
        </w:rPr>
        <w:t>generic substitution savings model</w:t>
      </w:r>
      <w:r>
        <w:rPr>
          <w:rFonts w:ascii="Calibri" w:eastAsia="Times New Roman" w:hAnsi="Calibri" w:cs="Calibri"/>
          <w:color w:val="000000"/>
          <w:kern w:val="0"/>
          <w:sz w:val="18"/>
          <w:szCs w:val="18"/>
          <w14:ligatures w14:val="none"/>
        </w:rPr>
        <w:t xml:space="preserve"> across 4.9M Medicare Part D claims, identifying </w:t>
      </w:r>
      <w:r>
        <w:rPr>
          <w:rFonts w:ascii="Calibri" w:eastAsia="Times New Roman" w:hAnsi="Calibri" w:cs="Calibri"/>
          <w:b/>
          <w:bCs/>
          <w:color w:val="000000"/>
          <w:kern w:val="0"/>
          <w:sz w:val="18"/>
          <w:szCs w:val="18"/>
          <w14:ligatures w14:val="none"/>
        </w:rPr>
        <w:t>$594.9M in formulary cost reduction opportunities</w:t>
      </w:r>
      <w:r>
        <w:rPr>
          <w:rFonts w:ascii="Calibri" w:eastAsia="Times New Roman" w:hAnsi="Calibri" w:cs="Calibri"/>
          <w:color w:val="000000"/>
          <w:kern w:val="0"/>
          <w:sz w:val="18"/>
          <w:szCs w:val="18"/>
          <w14:ligatures w14:val="none"/>
        </w:rPr>
        <w:t xml:space="preserve"> via a </w:t>
      </w:r>
      <w:r>
        <w:rPr>
          <w:rFonts w:ascii="Calibri" w:eastAsia="Times New Roman" w:hAnsi="Calibri" w:cs="Calibri"/>
          <w:b/>
          <w:bCs/>
          <w:color w:val="000000"/>
          <w:kern w:val="0"/>
          <w:sz w:val="18"/>
          <w:szCs w:val="18"/>
          <w14:ligatures w14:val="none"/>
        </w:rPr>
        <w:t>23x brand vs generic cost gap</w:t>
      </w:r>
      <w:r>
        <w:rPr>
          <w:rFonts w:ascii="Calibri" w:eastAsia="Times New Roman" w:hAnsi="Calibri" w:cs="Calibri"/>
          <w:color w:val="000000"/>
          <w:kern w:val="0"/>
          <w:sz w:val="18"/>
          <w:szCs w:val="18"/>
          <w14:ligatures w14:val="none"/>
        </w:rPr>
        <w:t xml:space="preserve"> and a </w:t>
      </w:r>
      <w:r>
        <w:rPr>
          <w:rFonts w:ascii="Calibri" w:eastAsia="Times New Roman" w:hAnsi="Calibri" w:cs="Calibri"/>
          <w:b/>
          <w:bCs/>
          <w:color w:val="000000"/>
          <w:kern w:val="0"/>
          <w:sz w:val="18"/>
          <w:szCs w:val="18"/>
          <w14:ligatures w14:val="none"/>
        </w:rPr>
        <w:t>Generic Dispensing Rate of 75.9% vs 85% benchmark</w:t>
      </w:r>
      <w:r>
        <w:rPr>
          <w:rFonts w:ascii="Calibri" w:eastAsia="Times New Roman" w:hAnsi="Calibri" w:cs="Calibri"/>
          <w:color w:val="000000"/>
          <w:kern w:val="0"/>
          <w:sz w:val="18"/>
          <w:szCs w:val="18"/>
          <w14:ligatures w14:val="none"/>
        </w:rPr>
        <w:t>, informing drug utilization review, formulary management, and payer reporting strategy.</w:t>
      </w:r>
    </w:p>
    <w:p w14:paraId="1F29526F" w14:textId="2DE1CC66" w:rsidR="00AC49AB" w:rsidRPr="00E32FA8" w:rsidRDefault="00B2385A" w:rsidP="0031079F">
      <w:pPr>
        <w:numPr>
          <w:ilvl w:val="0"/>
          <w:numId w:val="1"/>
        </w:numPr>
        <w:spacing w:after="0" w:line="240" w:lineRule="auto"/>
        <w:ind w:left="0" w:right="-360"/>
        <w:jc w:val="both"/>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Developed a </w:t>
      </w:r>
      <w:r>
        <w:rPr>
          <w:rFonts w:ascii="Calibri" w:eastAsia="Times New Roman" w:hAnsi="Calibri" w:cs="Calibri"/>
          <w:b/>
          <w:bCs/>
          <w:color w:val="000000"/>
          <w:kern w:val="0"/>
          <w:sz w:val="18"/>
          <w:szCs w:val="18"/>
          <w14:ligatures w14:val="none"/>
        </w:rPr>
        <w:t>prescriber utilization review model</w:t>
      </w:r>
      <w:r>
        <w:rPr>
          <w:rFonts w:ascii="Calibri" w:eastAsia="Times New Roman" w:hAnsi="Calibri" w:cs="Calibri"/>
          <w:color w:val="000000"/>
          <w:kern w:val="0"/>
          <w:sz w:val="18"/>
          <w:szCs w:val="18"/>
          <w14:ligatures w14:val="none"/>
        </w:rPr>
        <w:t xml:space="preserve"> (CTEs, window functions) benchmarking 96,800 providers against specialty averages flagging </w:t>
      </w:r>
      <w:r>
        <w:rPr>
          <w:rFonts w:ascii="Calibri" w:eastAsia="Times New Roman" w:hAnsi="Calibri" w:cs="Calibri"/>
          <w:b/>
          <w:bCs/>
          <w:color w:val="000000"/>
          <w:kern w:val="0"/>
          <w:sz w:val="18"/>
          <w:szCs w:val="18"/>
          <w14:ligatures w14:val="none"/>
        </w:rPr>
        <w:t>4,526% outlier prescriber ($10,364 vs $224/claim)</w:t>
      </w:r>
      <w:r>
        <w:rPr>
          <w:rFonts w:ascii="Calibri" w:eastAsia="Times New Roman" w:hAnsi="Calibri" w:cs="Calibri"/>
          <w:color w:val="000000"/>
          <w:kern w:val="0"/>
          <w:sz w:val="18"/>
          <w:szCs w:val="18"/>
          <w14:ligatures w14:val="none"/>
        </w:rPr>
        <w:t xml:space="preserve"> and identifying </w:t>
      </w:r>
      <w:r>
        <w:rPr>
          <w:rFonts w:ascii="Calibri" w:eastAsia="Times New Roman" w:hAnsi="Calibri" w:cs="Calibri"/>
          <w:b/>
          <w:bCs/>
          <w:color w:val="000000"/>
          <w:kern w:val="0"/>
          <w:sz w:val="18"/>
          <w:szCs w:val="18"/>
          <w14:ligatures w14:val="none"/>
        </w:rPr>
        <w:t>31 oncologists driving $91M (10.7%) of total spend</w:t>
      </w:r>
      <w:r>
        <w:rPr>
          <w:rFonts w:ascii="Calibri" w:eastAsia="Times New Roman" w:hAnsi="Calibri" w:cs="Calibri"/>
          <w:color w:val="000000"/>
          <w:kern w:val="0"/>
          <w:sz w:val="18"/>
          <w:szCs w:val="18"/>
          <w14:ligatures w14:val="none"/>
        </w:rPr>
        <w:t xml:space="preserve"> replicating PBM fraud, waste, and abuse detection methodology.</w:t>
      </w:r>
    </w:p>
    <w:p w14:paraId="0F4C35AF" w14:textId="77777777" w:rsidR="00AC49AB" w:rsidRPr="00E32FA8" w:rsidRDefault="00B2385A" w:rsidP="0031079F">
      <w:pPr>
        <w:numPr>
          <w:ilvl w:val="0"/>
          <w:numId w:val="1"/>
        </w:numPr>
        <w:spacing w:after="80" w:line="240" w:lineRule="auto"/>
        <w:ind w:left="0" w:right="-360"/>
        <w:jc w:val="both"/>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Published a two-dashboard </w:t>
      </w:r>
      <w:r>
        <w:rPr>
          <w:rFonts w:ascii="Calibri" w:eastAsia="Times New Roman" w:hAnsi="Calibri" w:cs="Calibri"/>
          <w:b/>
          <w:bCs/>
          <w:color w:val="000000"/>
          <w:kern w:val="0"/>
          <w:sz w:val="18"/>
          <w:szCs w:val="18"/>
          <w14:ligatures w14:val="none"/>
        </w:rPr>
        <w:t>Pharmacy Benefit Analytics suite</w:t>
      </w:r>
      <w:r>
        <w:rPr>
          <w:rFonts w:ascii="Calibri" w:eastAsia="Times New Roman" w:hAnsi="Calibri" w:cs="Calibri"/>
          <w:color w:val="000000"/>
          <w:kern w:val="0"/>
          <w:sz w:val="18"/>
          <w:szCs w:val="18"/>
          <w14:ligatures w14:val="none"/>
        </w:rPr>
        <w:t xml:space="preserve"> (Tableau Public) covering drug spend Pareto (</w:t>
      </w:r>
      <w:r>
        <w:rPr>
          <w:rFonts w:ascii="Calibri" w:eastAsia="Times New Roman" w:hAnsi="Calibri" w:cs="Calibri"/>
          <w:b/>
          <w:bCs/>
          <w:color w:val="000000"/>
          <w:kern w:val="0"/>
          <w:sz w:val="18"/>
          <w:szCs w:val="18"/>
          <w14:ligatures w14:val="none"/>
        </w:rPr>
        <w:t>top 99 of 847 drugs = 80% of $849.5M</w:t>
      </w:r>
      <w:r>
        <w:rPr>
          <w:rFonts w:ascii="Calibri" w:eastAsia="Times New Roman" w:hAnsi="Calibri" w:cs="Calibri"/>
          <w:color w:val="000000"/>
          <w:kern w:val="0"/>
          <w:sz w:val="18"/>
          <w:szCs w:val="18"/>
          <w14:ligatures w14:val="none"/>
        </w:rPr>
        <w:t>), specialty drug identification, GLP-1 adherence risk, and geographic cost variation (</w:t>
      </w:r>
      <w:r>
        <w:rPr>
          <w:rFonts w:ascii="Calibri" w:eastAsia="Times New Roman" w:hAnsi="Calibri" w:cs="Calibri"/>
          <w:b/>
          <w:bCs/>
          <w:color w:val="000000"/>
          <w:kern w:val="0"/>
          <w:sz w:val="18"/>
          <w:szCs w:val="18"/>
          <w14:ligatures w14:val="none"/>
        </w:rPr>
        <w:t>San Diego $170 vs San Francisco $336/claim</w:t>
      </w:r>
      <w:r>
        <w:rPr>
          <w:rFonts w:ascii="Calibri" w:eastAsia="Times New Roman" w:hAnsi="Calibri" w:cs="Calibri"/>
          <w:color w:val="000000"/>
          <w:kern w:val="0"/>
          <w:sz w:val="18"/>
          <w:szCs w:val="18"/>
          <w14:ligatures w14:val="none"/>
        </w:rPr>
        <w:t>).</w:t>
      </w:r>
    </w:p>
    <w:p w14:paraId="79B42761" w14:textId="77777777" w:rsidR="00AC49AB" w:rsidRPr="00E32FA8" w:rsidRDefault="00B2385A" w:rsidP="0031079F">
      <w:pPr>
        <w:spacing w:before="200" w:after="80" w:line="240" w:lineRule="auto"/>
        <w:ind w:left="-360" w:right="-360"/>
        <w:jc w:val="both"/>
        <w:outlineLvl w:val="1"/>
        <w:rPr>
          <w:rFonts w:ascii="Calibri" w:eastAsia="Times New Roman" w:hAnsi="Calibri" w:cs="Calibri"/>
          <w:b/>
          <w:bCs/>
          <w:color w:val="000000"/>
          <w:kern w:val="0"/>
          <w14:ligatures w14:val="none"/>
        </w:rPr>
      </w:pPr>
      <w:r>
        <w:rPr>
          <w:rFonts w:ascii="Calibri" w:eastAsia="Times New Roman" w:hAnsi="Calibri" w:cs="Calibri"/>
          <w:b/>
          <w:bCs/>
          <w:color w:val="3C78D8"/>
          <w:kern w:val="0"/>
          <w14:ligatures w14:val="none"/>
        </w:rPr>
        <w:t>TECHNICAL SKILLS</w:t>
      </w:r>
    </w:p>
    <w:p w14:paraId="0F57A5E8" w14:textId="77777777" w:rsidR="00AC49AB" w:rsidRPr="00E32FA8" w:rsidRDefault="00B2385A" w:rsidP="00B51FE2">
      <w:pPr>
        <w:spacing w:after="0" w:line="240" w:lineRule="auto"/>
        <w:ind w:left="-360" w:right="-360"/>
        <w:jc w:val="both"/>
        <w:outlineLvl w:val="1"/>
        <w:rPr>
          <w:rFonts w:ascii="Calibri" w:eastAsia="Times New Roman" w:hAnsi="Calibri" w:cs="Calibri"/>
          <w:b/>
          <w:bCs/>
          <w:color w:val="000000"/>
          <w:kern w:val="0"/>
          <w:sz w:val="18"/>
          <w:szCs w:val="18"/>
          <w14:ligatures w14:val="none"/>
        </w:rPr>
      </w:pPr>
      <w:r>
        <w:rPr>
          <w:rFonts w:ascii="Calibri" w:eastAsia="Times New Roman" w:hAnsi="Calibri" w:cs="Calibri"/>
          <w:b/>
          <w:bCs/>
          <w:color w:val="000000"/>
          <w:kern w:val="0"/>
          <w:sz w:val="18"/>
          <w:szCs w:val="18"/>
          <w14:ligatures w14:val="none"/>
        </w:rPr>
        <w:t>Healthcare Analytics &amp; Data Tools:</w:t>
      </w:r>
      <w:r>
        <w:rPr>
          <w:rFonts w:ascii="Calibri" w:eastAsia="Times New Roman" w:hAnsi="Calibri" w:cs="Calibri"/>
          <w:color w:val="000000"/>
          <w:kern w:val="0"/>
          <w:sz w:val="18"/>
          <w:szCs w:val="18"/>
          <w14:ligatures w14:val="none"/>
        </w:rPr>
        <w:t xml:space="preserve"> BigQuery SQL, Tableau dashboards, Power BI, Python (Pandas), Excel reporting, GitHub, Jira, Confluence</w:t>
      </w:r>
    </w:p>
    <w:p w14:paraId="30847DE3" w14:textId="77777777" w:rsidR="00AC49AB" w:rsidRPr="00E32FA8" w:rsidRDefault="00AC49AB" w:rsidP="00B51FE2">
      <w:pPr>
        <w:spacing w:after="0" w:line="240" w:lineRule="auto"/>
        <w:ind w:left="-360" w:right="-360"/>
        <w:jc w:val="both"/>
        <w:outlineLvl w:val="1"/>
        <w:rPr>
          <w:rFonts w:ascii="Calibri" w:eastAsia="Times New Roman" w:hAnsi="Calibri" w:cs="Calibri"/>
          <w:color w:val="000000"/>
          <w:kern w:val="0"/>
          <w:sz w:val="18"/>
          <w:szCs w:val="18"/>
          <w14:ligatures w14:val="none"/>
        </w:rPr>
      </w:pPr>
      <w:r>
        <w:rPr>
          <w:rFonts w:ascii="Calibri" w:eastAsia="Times New Roman" w:hAnsi="Calibri" w:cs="Calibri"/>
          <w:b/>
          <w:bCs/>
          <w:color w:val="000000"/>
          <w:kern w:val="0"/>
          <w:sz w:val="18"/>
          <w:szCs w:val="18"/>
          <w14:ligatures w14:val="none"/>
        </w:rPr>
        <w:t xml:space="preserve">Healthcare Domain Knowledge: </w:t>
      </w:r>
      <w:r>
        <w:rPr>
          <w:rFonts w:ascii="Calibri" w:eastAsia="Times New Roman" w:hAnsi="Calibri" w:cs="Calibri"/>
          <w:color w:val="000000"/>
          <w:kern w:val="0"/>
          <w:sz w:val="18"/>
          <w:szCs w:val="18"/>
          <w14:ligatures w14:val="none"/>
        </w:rPr>
        <w:t>Medicare Part D, Pharmacy Benefit Management (PBM), Generic Dispensing Rate (GDR), Formulary Management, Drug Utilization Review, Specialty Pharmacy, Medication Adherence, Claims Analytics, Billing Data, Payer Reporting, HIPAA</w:t>
      </w:r>
    </w:p>
    <w:p w14:paraId="00897FFB" w14:textId="77777777" w:rsidR="00E32FA8" w:rsidRDefault="00B2385A" w:rsidP="00B51FE2">
      <w:pPr>
        <w:spacing w:after="0" w:line="240" w:lineRule="auto"/>
        <w:ind w:left="-360" w:right="-360"/>
        <w:jc w:val="both"/>
        <w:rPr>
          <w:rFonts w:ascii="Calibri" w:eastAsia="Times New Roman" w:hAnsi="Calibri" w:cs="Calibri"/>
          <w:color w:val="000000"/>
          <w:kern w:val="0"/>
          <w:sz w:val="18"/>
          <w:szCs w:val="18"/>
          <w14:ligatures w14:val="none"/>
        </w:rPr>
      </w:pPr>
      <w:r>
        <w:rPr>
          <w:rFonts w:ascii="Calibri" w:eastAsia="Times New Roman" w:hAnsi="Calibri" w:cs="Calibri"/>
          <w:b/>
          <w:bCs/>
          <w:color w:val="000000"/>
          <w:kern w:val="0"/>
          <w:sz w:val="18"/>
          <w:szCs w:val="18"/>
          <w14:ligatures w14:val="none"/>
        </w:rPr>
        <w:t xml:space="preserve">Analytics Skills: </w:t>
      </w:r>
      <w:r>
        <w:rPr>
          <w:rFonts w:ascii="Calibri" w:eastAsia="Times New Roman" w:hAnsi="Calibri" w:cs="Calibri"/>
          <w:color w:val="000000"/>
          <w:kern w:val="0"/>
          <w:sz w:val="18"/>
          <w:szCs w:val="18"/>
          <w14:ligatures w14:val="none"/>
        </w:rPr>
        <w:t>Advanced SQL (CTEs, Window Functions, SAFE_DIVIDE, COALESCE), KPI Dashboard Development, Prescriber Profiling, Cost Modeling, Population Health Analytics, Data Governance, Data Quality, Outcomes Reporting, Stakeholder Reporting, Stakeholder Communication</w:t>
      </w:r>
    </w:p>
    <w:p w14:paraId="21678729" w14:textId="77777777" w:rsidR="00B51FE2" w:rsidRPr="00E32FA8" w:rsidRDefault="00B51FE2" w:rsidP="00B51FE2">
      <w:pPr>
        <w:spacing w:after="0" w:line="240" w:lineRule="auto"/>
        <w:ind w:left="-360" w:right="-360"/>
        <w:jc w:val="both"/>
        <w:rPr>
          <w:rFonts w:ascii="Times New Roman" w:eastAsia="Times New Roman" w:hAnsi="Times New Roman" w:cs="Times New Roman"/>
          <w:kern w:val="0"/>
          <w:sz w:val="18"/>
          <w:szCs w:val="18"/>
          <w14:ligatures w14:val="none"/>
        </w:rPr>
      </w:pPr>
    </w:p>
    <w:p w14:paraId="4C913092" w14:textId="35FF716A" w:rsidR="001E389B" w:rsidRPr="00B2385A" w:rsidRDefault="001E389B" w:rsidP="00E32FA8">
      <w:pPr>
        <w:spacing w:after="40" w:line="240" w:lineRule="auto"/>
        <w:ind w:left="-360" w:right="-360"/>
        <w:jc w:val="both"/>
        <w:rPr>
          <w:rFonts w:ascii="Times New Roman" w:eastAsia="Times New Roman" w:hAnsi="Times New Roman" w:cs="Times New Roman"/>
          <w:kern w:val="0"/>
          <w14:ligatures w14:val="none"/>
        </w:rPr>
      </w:pPr>
      <w:r>
        <w:rPr>
          <w:rFonts w:ascii="Calibri" w:eastAsia="Times New Roman" w:hAnsi="Calibri" w:cs="Calibri"/>
          <w:b/>
          <w:bCs/>
          <w:color w:val="3C78D8"/>
          <w:kern w:val="0"/>
          <w14:ligatures w14:val="none"/>
        </w:rPr>
        <w:t>EDUCATION |</w:t>
      </w:r>
      <w:r>
        <w:rPr>
          <w:rFonts w:ascii="Calibri" w:eastAsia="Times New Roman" w:hAnsi="Calibri" w:cs="Calibri"/>
          <w:b/>
          <w:bCs/>
          <w:color w:val="1F3A5F"/>
          <w:kern w:val="0"/>
          <w14:ligatures w14:val="none"/>
        </w:rPr>
        <w:t xml:space="preserve"> </w:t>
      </w:r>
      <w:r>
        <w:rPr>
          <w:b/>
          <w:bCs/>
          <w:sz w:val="18"/>
          <w:szCs w:val="18"/>
        </w:rPr>
        <w:t>B.E. Electronics Engineering |</w:t>
      </w:r>
      <w:r>
        <w:rPr>
          <w:color w:val="555555"/>
          <w:sz w:val="18"/>
          <w:szCs w:val="18"/>
        </w:rPr>
        <w:t xml:space="preserve"> University of Pune, India | 2011 - 2015</w:t>
      </w:r>
    </w:p>
    <w:p w14:paraId="79012122" w14:textId="77777777" w:rsidR="001E389B" w:rsidRPr="00B2385A" w:rsidRDefault="001E389B" w:rsidP="00B2385A">
      <w:pPr>
        <w:spacing w:after="40" w:line="240" w:lineRule="auto"/>
        <w:ind w:left="-360" w:right="-360"/>
        <w:jc w:val="both"/>
        <w:rPr>
          <w:rFonts w:ascii="Times New Roman" w:eastAsia="Times New Roman" w:hAnsi="Times New Roman" w:cs="Times New Roman"/>
          <w:kern w:val="0"/>
          <w14:ligatures w14:val="none"/>
        </w:rPr>
      </w:pPr>
    </w:p>
    <w:sectPr w:rsidR="001E389B" w:rsidRPr="00B2385A" w:rsidSect="00D2659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128"/>
    <w:multiLevelType w:val="multilevel"/>
    <w:tmpl w:val="B616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7179F"/>
    <w:multiLevelType w:val="multilevel"/>
    <w:tmpl w:val="ABD0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C73C7"/>
    <w:multiLevelType w:val="multilevel"/>
    <w:tmpl w:val="CC3E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37FBB"/>
    <w:multiLevelType w:val="hybridMultilevel"/>
    <w:tmpl w:val="10FCF1F8"/>
    <w:lvl w:ilvl="0" w:tplc="36188886">
      <w:start w:val="1"/>
      <w:numFmt w:val="bullet"/>
      <w:lvlText w:val="•"/>
      <w:lvlJc w:val="left"/>
      <w:pPr>
        <w:ind w:left="480" w:hanging="280"/>
      </w:pPr>
    </w:lvl>
    <w:lvl w:ilvl="1" w:tplc="E0FCB53E">
      <w:numFmt w:val="decimal"/>
      <w:lvlText w:val=""/>
      <w:lvlJc w:val="left"/>
    </w:lvl>
    <w:lvl w:ilvl="2" w:tplc="BF84AADA">
      <w:numFmt w:val="decimal"/>
      <w:lvlText w:val=""/>
      <w:lvlJc w:val="left"/>
    </w:lvl>
    <w:lvl w:ilvl="3" w:tplc="17764966">
      <w:numFmt w:val="decimal"/>
      <w:lvlText w:val=""/>
      <w:lvlJc w:val="left"/>
    </w:lvl>
    <w:lvl w:ilvl="4" w:tplc="305E066E">
      <w:numFmt w:val="decimal"/>
      <w:lvlText w:val=""/>
      <w:lvlJc w:val="left"/>
    </w:lvl>
    <w:lvl w:ilvl="5" w:tplc="F60CBA0A">
      <w:numFmt w:val="decimal"/>
      <w:lvlText w:val=""/>
      <w:lvlJc w:val="left"/>
    </w:lvl>
    <w:lvl w:ilvl="6" w:tplc="9FB6B8E2">
      <w:numFmt w:val="decimal"/>
      <w:lvlText w:val=""/>
      <w:lvlJc w:val="left"/>
    </w:lvl>
    <w:lvl w:ilvl="7" w:tplc="5AE0B89E">
      <w:numFmt w:val="decimal"/>
      <w:lvlText w:val=""/>
      <w:lvlJc w:val="left"/>
    </w:lvl>
    <w:lvl w:ilvl="8" w:tplc="2E04CBF2">
      <w:numFmt w:val="decimal"/>
      <w:lvlText w:val=""/>
      <w:lvlJc w:val="left"/>
    </w:lvl>
  </w:abstractNum>
  <w:num w:numId="1" w16cid:durableId="1954049368">
    <w:abstractNumId w:val="0"/>
  </w:num>
  <w:num w:numId="2" w16cid:durableId="1186823227">
    <w:abstractNumId w:val="1"/>
  </w:num>
  <w:num w:numId="3" w16cid:durableId="1676153881">
    <w:abstractNumId w:val="2"/>
  </w:num>
  <w:num w:numId="4" w16cid:durableId="160641993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5A"/>
    <w:rsid w:val="00055CA3"/>
    <w:rsid w:val="001472BE"/>
    <w:rsid w:val="001E389B"/>
    <w:rsid w:val="00212A4C"/>
    <w:rsid w:val="00231B1C"/>
    <w:rsid w:val="0031079F"/>
    <w:rsid w:val="003359FF"/>
    <w:rsid w:val="00337FE3"/>
    <w:rsid w:val="003632CC"/>
    <w:rsid w:val="003A0FEA"/>
    <w:rsid w:val="003B202F"/>
    <w:rsid w:val="003C21BA"/>
    <w:rsid w:val="003D008F"/>
    <w:rsid w:val="005A5796"/>
    <w:rsid w:val="006044A9"/>
    <w:rsid w:val="00887031"/>
    <w:rsid w:val="00896694"/>
    <w:rsid w:val="00944817"/>
    <w:rsid w:val="009E3641"/>
    <w:rsid w:val="009E766A"/>
    <w:rsid w:val="00AC49AB"/>
    <w:rsid w:val="00AE0CCE"/>
    <w:rsid w:val="00B2385A"/>
    <w:rsid w:val="00B51FE2"/>
    <w:rsid w:val="00BB0BFF"/>
    <w:rsid w:val="00C0499A"/>
    <w:rsid w:val="00C11243"/>
    <w:rsid w:val="00C94E65"/>
    <w:rsid w:val="00D26591"/>
    <w:rsid w:val="00D415EE"/>
    <w:rsid w:val="00DE681B"/>
    <w:rsid w:val="00E32FA8"/>
    <w:rsid w:val="00F92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796B"/>
  <w15:chartTrackingRefBased/>
  <w15:docId w15:val="{299683F2-85C9-5341-A1B8-DC7D7874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3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3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85A"/>
    <w:rPr>
      <w:rFonts w:eastAsiaTheme="majorEastAsia" w:cstheme="majorBidi"/>
      <w:color w:val="272727" w:themeColor="text1" w:themeTint="D8"/>
    </w:rPr>
  </w:style>
  <w:style w:type="paragraph" w:styleId="Title">
    <w:name w:val="Title"/>
    <w:basedOn w:val="Normal"/>
    <w:next w:val="Normal"/>
    <w:link w:val="TitleChar"/>
    <w:uiPriority w:val="10"/>
    <w:qFormat/>
    <w:rsid w:val="00B23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85A"/>
    <w:pPr>
      <w:spacing w:before="160"/>
      <w:jc w:val="center"/>
    </w:pPr>
    <w:rPr>
      <w:i/>
      <w:iCs/>
      <w:color w:val="404040" w:themeColor="text1" w:themeTint="BF"/>
    </w:rPr>
  </w:style>
  <w:style w:type="character" w:customStyle="1" w:styleId="QuoteChar">
    <w:name w:val="Quote Char"/>
    <w:basedOn w:val="DefaultParagraphFont"/>
    <w:link w:val="Quote"/>
    <w:uiPriority w:val="29"/>
    <w:rsid w:val="00B2385A"/>
    <w:rPr>
      <w:i/>
      <w:iCs/>
      <w:color w:val="404040" w:themeColor="text1" w:themeTint="BF"/>
    </w:rPr>
  </w:style>
  <w:style w:type="paragraph" w:styleId="ListParagraph">
    <w:name w:val="List Paragraph"/>
    <w:basedOn w:val="Normal"/>
    <w:qFormat/>
    <w:rsid w:val="00B2385A"/>
    <w:pPr>
      <w:ind w:left="720"/>
      <w:contextualSpacing/>
    </w:pPr>
  </w:style>
  <w:style w:type="character" w:styleId="IntenseEmphasis">
    <w:name w:val="Intense Emphasis"/>
    <w:basedOn w:val="DefaultParagraphFont"/>
    <w:uiPriority w:val="21"/>
    <w:qFormat/>
    <w:rsid w:val="00B2385A"/>
    <w:rPr>
      <w:i/>
      <w:iCs/>
      <w:color w:val="2F5496" w:themeColor="accent1" w:themeShade="BF"/>
    </w:rPr>
  </w:style>
  <w:style w:type="paragraph" w:styleId="IntenseQuote">
    <w:name w:val="Intense Quote"/>
    <w:basedOn w:val="Normal"/>
    <w:next w:val="Normal"/>
    <w:link w:val="IntenseQuoteChar"/>
    <w:uiPriority w:val="30"/>
    <w:qFormat/>
    <w:rsid w:val="00B23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85A"/>
    <w:rPr>
      <w:i/>
      <w:iCs/>
      <w:color w:val="2F5496" w:themeColor="accent1" w:themeShade="BF"/>
    </w:rPr>
  </w:style>
  <w:style w:type="character" w:styleId="IntenseReference">
    <w:name w:val="Intense Reference"/>
    <w:basedOn w:val="DefaultParagraphFont"/>
    <w:uiPriority w:val="32"/>
    <w:qFormat/>
    <w:rsid w:val="00B2385A"/>
    <w:rPr>
      <w:b/>
      <w:bCs/>
      <w:smallCaps/>
      <w:color w:val="2F5496" w:themeColor="accent1" w:themeShade="BF"/>
      <w:spacing w:val="5"/>
    </w:rPr>
  </w:style>
  <w:style w:type="paragraph" w:styleId="NormalWeb">
    <w:name w:val="Normal (Web)"/>
    <w:basedOn w:val="Normal"/>
    <w:uiPriority w:val="99"/>
    <w:semiHidden/>
    <w:unhideWhenUsed/>
    <w:rsid w:val="00B238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87031"/>
    <w:rPr>
      <w:color w:val="0563C1" w:themeColor="hyperlink"/>
      <w:u w:val="single"/>
    </w:rPr>
  </w:style>
  <w:style w:type="character" w:styleId="UnresolvedMention">
    <w:name w:val="Unresolved Mention"/>
    <w:basedOn w:val="DefaultParagraphFont"/>
    <w:uiPriority w:val="99"/>
    <w:semiHidden/>
    <w:unhideWhenUsed/>
    <w:rsid w:val="00887031"/>
    <w:rPr>
      <w:color w:val="605E5C"/>
      <w:shd w:val="clear" w:color="auto" w:fill="E1DFDD"/>
    </w:rPr>
  </w:style>
  <w:style w:type="character" w:styleId="FollowedHyperlink">
    <w:name w:val="FollowedHyperlink"/>
    <w:basedOn w:val="DefaultParagraphFont"/>
    <w:uiPriority w:val="99"/>
    <w:semiHidden/>
    <w:unhideWhenUsed/>
    <w:rsid w:val="00887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edin.com/in/mrunalibharshankar" TargetMode="External"/><Relationship Id="rId5" Type="http://schemas.openxmlformats.org/officeDocument/2006/relationships/hyperlink" Target="http://github.com/mrunalibharshank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Mrunali Bharshankar</dc:creator>
  <cp:keywords/>
  <dc:description/>
  <cp:lastModifiedBy>Mrunali Bharshankar</cp:lastModifiedBy>
  <cp:revision>3</cp:revision>
  <dcterms:created xsi:type="dcterms:W3CDTF">2026-06-12T01:02:00Z</dcterms:created>
  <dcterms:modified xsi:type="dcterms:W3CDTF">2026-06-12T01:07:00Z</dcterms:modified>
</cp:coreProperties>
</file>